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CEB" w:rsidRPr="001B488C" w:rsidRDefault="001B488C" w:rsidP="001B488C">
      <w:pPr>
        <w:jc w:val="center"/>
        <w:rPr>
          <w:b/>
        </w:rPr>
      </w:pPr>
      <w:r w:rsidRPr="001B488C">
        <w:rPr>
          <w:b/>
        </w:rPr>
        <w:t>TRUNG TÂM PHỤC VỤ HÀNH CHÍNH CÔNG TỈNH PHÚ THỌ</w:t>
      </w:r>
    </w:p>
    <w:p w:rsidR="001B488C" w:rsidRPr="001B488C" w:rsidRDefault="001B488C" w:rsidP="001B488C">
      <w:pPr>
        <w:jc w:val="center"/>
        <w:rPr>
          <w:b/>
        </w:rPr>
      </w:pPr>
      <w:r w:rsidRPr="001B488C">
        <w:rPr>
          <w:b/>
        </w:rPr>
        <w:t>THÔNG BÁO</w:t>
      </w:r>
    </w:p>
    <w:p w:rsidR="001B488C" w:rsidRDefault="001B488C" w:rsidP="001B488C">
      <w:pPr>
        <w:pStyle w:val="ListParagraph"/>
        <w:numPr>
          <w:ilvl w:val="0"/>
          <w:numId w:val="1"/>
        </w:numPr>
      </w:pPr>
      <w:r w:rsidRPr="001B488C">
        <w:t>Tạm dừng việc tiếp nhận hồ sơ TTHC trực tiếp tại Trung tâm kể từ 07h30’ ngày 19 tháng 10 năm 2021 (trừ các TTHC tại danh sách đính kèm sau đây) cho đến khi có thông báo mới.</w:t>
      </w:r>
    </w:p>
    <w:p w:rsidR="001B488C" w:rsidRDefault="001B488C" w:rsidP="001B488C">
      <w:pPr>
        <w:pStyle w:val="ListParagraph"/>
        <w:numPr>
          <w:ilvl w:val="0"/>
          <w:numId w:val="1"/>
        </w:numPr>
      </w:pPr>
      <w:r w:rsidRPr="001B488C">
        <w:t>Các tổ chức, cá nhân có công việc thực sự cần thiết phải trực tiếp thực hiện tại Trung tâm liên hệ qua số điện thoại 0210.2222.555 nhánh 123 để được bố trí sắp xếp đảm bảo các biện pháp phòng, chống dịch bệnh Covid-19 theo quy định.</w:t>
      </w:r>
      <w:r>
        <w:t>/.</w:t>
      </w:r>
      <w:bookmarkStart w:id="0" w:name="_GoBack"/>
      <w:bookmarkEnd w:id="0"/>
    </w:p>
    <w:p w:rsidR="001B488C" w:rsidRDefault="001B488C" w:rsidP="001B488C">
      <w:pPr>
        <w:widowControl w:val="0"/>
        <w:spacing w:before="120" w:after="120" w:line="271" w:lineRule="auto"/>
        <w:ind w:left="360"/>
        <w:rPr>
          <w:b/>
          <w:lang w:val="vi-VN"/>
        </w:rPr>
      </w:pPr>
    </w:p>
    <w:p w:rsidR="001B488C" w:rsidRPr="001B488C" w:rsidRDefault="001B488C" w:rsidP="001B488C">
      <w:pPr>
        <w:widowControl w:val="0"/>
        <w:spacing w:before="120" w:after="120" w:line="271" w:lineRule="auto"/>
        <w:ind w:left="360"/>
        <w:rPr>
          <w:b/>
        </w:rPr>
      </w:pPr>
      <w:r w:rsidRPr="001B488C">
        <w:rPr>
          <w:b/>
          <w:lang w:val="vi-VN"/>
        </w:rPr>
        <w:t xml:space="preserve">DANH SÁCH </w:t>
      </w:r>
      <w:r w:rsidRPr="001B488C">
        <w:rPr>
          <w:b/>
        </w:rPr>
        <w:t>CÁC TTHC TIẾP NHẬN TRỰC TIẾP TẠI TRUNG TÂM PHỤC VỤ HÀNH CHÍNH CÔNG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1B488C" w:rsidRPr="00716CD5" w:rsidTr="008D3C1C">
        <w:tc>
          <w:tcPr>
            <w:tcW w:w="2235" w:type="dxa"/>
            <w:shd w:val="clear" w:color="auto" w:fill="auto"/>
          </w:tcPr>
          <w:p w:rsidR="001B488C" w:rsidRPr="00716CD5" w:rsidRDefault="001B488C" w:rsidP="008D3C1C">
            <w:pPr>
              <w:widowControl w:val="0"/>
              <w:spacing w:before="120" w:after="120" w:line="271" w:lineRule="auto"/>
              <w:jc w:val="center"/>
              <w:rPr>
                <w:b/>
              </w:rPr>
            </w:pPr>
            <w:r w:rsidRPr="00716CD5">
              <w:rPr>
                <w:b/>
              </w:rPr>
              <w:t>Đơn vị</w:t>
            </w:r>
          </w:p>
        </w:tc>
        <w:tc>
          <w:tcPr>
            <w:tcW w:w="7053" w:type="dxa"/>
            <w:shd w:val="clear" w:color="auto" w:fill="auto"/>
          </w:tcPr>
          <w:p w:rsidR="001B488C" w:rsidRPr="00716CD5" w:rsidRDefault="001B488C" w:rsidP="008D3C1C">
            <w:pPr>
              <w:widowControl w:val="0"/>
              <w:spacing w:before="120" w:after="120" w:line="271" w:lineRule="auto"/>
              <w:jc w:val="center"/>
              <w:rPr>
                <w:b/>
              </w:rPr>
            </w:pPr>
            <w:r w:rsidRPr="00716CD5">
              <w:rPr>
                <w:b/>
              </w:rPr>
              <w:t>Thủ tục hành chính</w:t>
            </w:r>
          </w:p>
        </w:tc>
      </w:tr>
      <w:tr w:rsidR="001B488C" w:rsidRPr="00716CD5" w:rsidTr="008D3C1C">
        <w:tc>
          <w:tcPr>
            <w:tcW w:w="2235" w:type="dxa"/>
            <w:shd w:val="clear" w:color="auto" w:fill="auto"/>
            <w:vAlign w:val="center"/>
          </w:tcPr>
          <w:p w:rsidR="001B488C" w:rsidRPr="00716CD5" w:rsidRDefault="001B488C" w:rsidP="008D3C1C">
            <w:pPr>
              <w:widowControl w:val="0"/>
              <w:spacing w:before="120" w:after="120" w:line="271" w:lineRule="auto"/>
              <w:jc w:val="center"/>
              <w:rPr>
                <w:b/>
              </w:rPr>
            </w:pPr>
            <w:r w:rsidRPr="00716CD5">
              <w:rPr>
                <w:b/>
              </w:rPr>
              <w:t>Sở Lao động – Thương binh và xã hội (01 TTHC)</w:t>
            </w:r>
          </w:p>
        </w:tc>
        <w:tc>
          <w:tcPr>
            <w:tcW w:w="7053" w:type="dxa"/>
            <w:shd w:val="clear" w:color="auto" w:fill="auto"/>
          </w:tcPr>
          <w:p w:rsidR="001B488C" w:rsidRPr="00716CD5" w:rsidRDefault="001B488C" w:rsidP="008D3C1C">
            <w:pPr>
              <w:widowControl w:val="0"/>
              <w:spacing w:before="120" w:after="120" w:line="271" w:lineRule="auto"/>
              <w:jc w:val="both"/>
              <w:rPr>
                <w:bCs/>
              </w:rPr>
            </w:pPr>
            <w:r w:rsidRPr="00716CD5">
              <w:rPr>
                <w:bCs/>
              </w:rPr>
              <w:t>- Gia hạn giấy phép lao động.</w:t>
            </w:r>
          </w:p>
        </w:tc>
      </w:tr>
      <w:tr w:rsidR="001B488C" w:rsidRPr="00716CD5" w:rsidTr="008D3C1C">
        <w:tc>
          <w:tcPr>
            <w:tcW w:w="2235" w:type="dxa"/>
            <w:shd w:val="clear" w:color="auto" w:fill="auto"/>
            <w:vAlign w:val="center"/>
          </w:tcPr>
          <w:p w:rsidR="001B488C" w:rsidRPr="00716CD5" w:rsidRDefault="001B488C" w:rsidP="008D3C1C">
            <w:pPr>
              <w:widowControl w:val="0"/>
              <w:spacing w:before="120" w:after="120" w:line="271" w:lineRule="auto"/>
              <w:jc w:val="center"/>
              <w:rPr>
                <w:b/>
              </w:rPr>
            </w:pPr>
            <w:r w:rsidRPr="00716CD5">
              <w:rPr>
                <w:b/>
              </w:rPr>
              <w:t>Sở Giao thông vận tải (05 TTHC)</w:t>
            </w:r>
          </w:p>
        </w:tc>
        <w:tc>
          <w:tcPr>
            <w:tcW w:w="7053" w:type="dxa"/>
            <w:shd w:val="clear" w:color="auto" w:fill="auto"/>
          </w:tcPr>
          <w:p w:rsidR="001B488C" w:rsidRPr="00716CD5" w:rsidRDefault="001B488C" w:rsidP="008D3C1C">
            <w:pPr>
              <w:widowControl w:val="0"/>
              <w:spacing w:before="120" w:after="120" w:line="271" w:lineRule="auto"/>
              <w:jc w:val="both"/>
              <w:rPr>
                <w:bCs/>
              </w:rPr>
            </w:pPr>
            <w:r w:rsidRPr="00716CD5">
              <w:rPr>
                <w:bCs/>
              </w:rPr>
              <w:t>- Cấp lại Giấy phép lái xe.</w:t>
            </w:r>
          </w:p>
          <w:p w:rsidR="001B488C" w:rsidRPr="00716CD5" w:rsidRDefault="001B488C" w:rsidP="008D3C1C">
            <w:pPr>
              <w:widowControl w:val="0"/>
              <w:spacing w:before="120" w:after="120" w:line="271" w:lineRule="auto"/>
              <w:jc w:val="both"/>
              <w:rPr>
                <w:bCs/>
              </w:rPr>
            </w:pPr>
            <w:r w:rsidRPr="00716CD5">
              <w:rPr>
                <w:bCs/>
              </w:rPr>
              <w:t>- Đổi Giấy phép lái xe do ngành Giao thông vận tải cấp.</w:t>
            </w:r>
          </w:p>
          <w:p w:rsidR="001B488C" w:rsidRPr="00716CD5" w:rsidRDefault="001B488C" w:rsidP="008D3C1C">
            <w:pPr>
              <w:widowControl w:val="0"/>
              <w:spacing w:before="120" w:after="120" w:line="271" w:lineRule="auto"/>
              <w:jc w:val="both"/>
              <w:rPr>
                <w:bCs/>
              </w:rPr>
            </w:pPr>
            <w:r w:rsidRPr="00716CD5">
              <w:rPr>
                <w:bCs/>
              </w:rPr>
              <w:t>- Đổi Giấy phép lái xe quân sự do Bộ Quốc phòng cấp.</w:t>
            </w:r>
          </w:p>
          <w:p w:rsidR="001B488C" w:rsidRPr="00716CD5" w:rsidRDefault="001B488C" w:rsidP="008D3C1C">
            <w:pPr>
              <w:widowControl w:val="0"/>
              <w:spacing w:before="120" w:after="120" w:line="271" w:lineRule="auto"/>
              <w:jc w:val="both"/>
              <w:rPr>
                <w:bCs/>
              </w:rPr>
            </w:pPr>
            <w:r w:rsidRPr="00716CD5">
              <w:rPr>
                <w:bCs/>
              </w:rPr>
              <w:t>- Đổi giấy phép lái xe do ngành Công an cấp.</w:t>
            </w:r>
          </w:p>
          <w:p w:rsidR="001B488C" w:rsidRPr="00716CD5" w:rsidRDefault="001B488C" w:rsidP="008D3C1C">
            <w:pPr>
              <w:widowControl w:val="0"/>
              <w:spacing w:before="120" w:after="120" w:line="271" w:lineRule="auto"/>
              <w:jc w:val="both"/>
              <w:rPr>
                <w:bCs/>
              </w:rPr>
            </w:pPr>
            <w:r w:rsidRPr="00716CD5">
              <w:rPr>
                <w:bCs/>
              </w:rPr>
              <w:t>- Đổi Giấy phép lái xe hoặc bằng lái xe của nước ngoài cấp.</w:t>
            </w:r>
          </w:p>
        </w:tc>
      </w:tr>
      <w:tr w:rsidR="001B488C" w:rsidRPr="00716CD5" w:rsidTr="008D3C1C">
        <w:tc>
          <w:tcPr>
            <w:tcW w:w="2235" w:type="dxa"/>
            <w:shd w:val="clear" w:color="auto" w:fill="auto"/>
          </w:tcPr>
          <w:p w:rsidR="001B488C" w:rsidRPr="00716CD5" w:rsidRDefault="001B488C" w:rsidP="008D3C1C">
            <w:pPr>
              <w:widowControl w:val="0"/>
              <w:spacing w:before="120" w:after="120" w:line="271" w:lineRule="auto"/>
              <w:jc w:val="center"/>
              <w:rPr>
                <w:b/>
              </w:rPr>
            </w:pPr>
            <w:r w:rsidRPr="00716CD5">
              <w:rPr>
                <w:b/>
              </w:rPr>
              <w:t>Công an tỉnh (01 TTHC)</w:t>
            </w:r>
          </w:p>
        </w:tc>
        <w:tc>
          <w:tcPr>
            <w:tcW w:w="7053" w:type="dxa"/>
            <w:shd w:val="clear" w:color="auto" w:fill="auto"/>
          </w:tcPr>
          <w:p w:rsidR="001B488C" w:rsidRPr="00716CD5" w:rsidRDefault="001B488C" w:rsidP="008D3C1C">
            <w:pPr>
              <w:widowControl w:val="0"/>
              <w:spacing w:before="120" w:after="120" w:line="271" w:lineRule="auto"/>
              <w:jc w:val="both"/>
              <w:rPr>
                <w:bCs/>
              </w:rPr>
            </w:pPr>
            <w:r w:rsidRPr="00716CD5">
              <w:rPr>
                <w:bCs/>
              </w:rPr>
              <w:t>- Cấp đổi, cấp lại giấy chứng nhận đăng ký mẫu con dấu.</w:t>
            </w:r>
          </w:p>
        </w:tc>
      </w:tr>
    </w:tbl>
    <w:p w:rsidR="001B488C" w:rsidRDefault="001B488C" w:rsidP="001B488C">
      <w:pPr>
        <w:ind w:left="360"/>
      </w:pPr>
    </w:p>
    <w:sectPr w:rsidR="001B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B153C"/>
    <w:multiLevelType w:val="hybridMultilevel"/>
    <w:tmpl w:val="5B78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8C"/>
    <w:rsid w:val="001B488C"/>
    <w:rsid w:val="002D5CEB"/>
    <w:rsid w:val="00404A23"/>
    <w:rsid w:val="008163FF"/>
    <w:rsid w:val="009501A8"/>
    <w:rsid w:val="00DF268A"/>
    <w:rsid w:val="00DF66FA"/>
    <w:rsid w:val="00E1758F"/>
    <w:rsid w:val="00E5419C"/>
    <w:rsid w:val="00E7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9646"/>
  <w15:chartTrackingRefBased/>
  <w15:docId w15:val="{E7329365-1F76-4D79-982B-695F68DB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2021-10-18T08:42:00Z</dcterms:created>
  <dcterms:modified xsi:type="dcterms:W3CDTF">2021-10-18T08:49:00Z</dcterms:modified>
</cp:coreProperties>
</file>